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项目名称：</w:t>
      </w:r>
    </w:p>
    <w:p>
      <w:pPr>
        <w:ind w:firstLine="1446" w:firstLineChars="400"/>
        <w:rPr>
          <w:rFonts w:ascii="宋体" w:cs="黑体"/>
          <w:b/>
          <w:sz w:val="36"/>
          <w:szCs w:val="36"/>
          <w:u w:val="single"/>
        </w:rPr>
      </w:pPr>
      <w:r>
        <w:rPr>
          <w:rFonts w:hint="eastAsia" w:ascii="宋体" w:hAnsi="宋体" w:cs="黑体"/>
          <w:b/>
          <w:sz w:val="36"/>
          <w:szCs w:val="36"/>
        </w:rPr>
        <w:t>项目编号：</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hint="eastAsia" w:ascii="宋体" w:hAnsi="宋体"/>
          <w:sz w:val="24"/>
          <w:szCs w:val="24"/>
          <w:u w:val="single"/>
        </w:rPr>
        <w:t>福建商贸学校</w:t>
      </w:r>
    </w:p>
    <w:p>
      <w:pPr>
        <w:spacing w:line="480" w:lineRule="auto"/>
        <w:ind w:firstLine="480" w:firstLineChars="200"/>
        <w:rPr>
          <w:rFonts w:ascii="宋体"/>
          <w:sz w:val="24"/>
          <w:szCs w:val="24"/>
        </w:rPr>
      </w:pPr>
      <w:r>
        <w:rPr>
          <w:rFonts w:hint="eastAsia" w:ascii="宋体" w:hAnsi="宋体"/>
          <w:sz w:val="24"/>
          <w:szCs w:val="24"/>
        </w:rPr>
        <w:t>关于贵方年月日的公告，第</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widowControl/>
        <w:jc w:val="left"/>
        <w:rPr>
          <w:color w:val="242424"/>
        </w:rPr>
      </w:pPr>
    </w:p>
    <w:p>
      <w:pPr>
        <w:widowControl/>
        <w:jc w:val="left"/>
        <w:rPr>
          <w:color w:val="242424"/>
        </w:rPr>
      </w:pPr>
      <w:r>
        <w:rPr>
          <w:color w:val="242424"/>
        </w:rPr>
        <w:br w:type="page"/>
      </w:r>
      <w:r>
        <w:rPr>
          <w:rFonts w:hint="eastAsia"/>
          <w:color w:val="242424"/>
        </w:rPr>
        <w:t>5</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rFonts w:hint="eastAsia"/>
          <w:color w:val="242424"/>
          <w:sz w:val="28"/>
          <w:szCs w:val="28"/>
        </w:rPr>
        <w:t>年</w:t>
      </w:r>
      <w:r>
        <w:rPr>
          <w:rFonts w:hint="eastAsia"/>
          <w:color w:val="242424"/>
          <w:sz w:val="28"/>
          <w:szCs w:val="28"/>
          <w:lang w:val="en-US" w:eastAsia="zh-CN"/>
        </w:rPr>
        <w:t xml:space="preserve">  </w:t>
      </w:r>
      <w:r>
        <w:rPr>
          <w:rFonts w:hint="eastAsia"/>
          <w:color w:val="242424"/>
          <w:sz w:val="28"/>
          <w:szCs w:val="28"/>
        </w:rPr>
        <w:t>月</w:t>
      </w:r>
      <w:r>
        <w:rPr>
          <w:rFonts w:hint="eastAsia"/>
          <w:color w:val="242424"/>
          <w:sz w:val="28"/>
          <w:szCs w:val="28"/>
          <w:lang w:val="en-US" w:eastAsia="zh-CN"/>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rPr>
        <w:t>6．通过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10"/>
        </w:rPr>
        <w:t>www.creditchina.gov.cn</w:t>
      </w:r>
      <w:r>
        <w:rPr>
          <w:rStyle w:val="10"/>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10"/>
        </w:rPr>
        <w:t>www.ccgp.gov.cn</w:t>
      </w:r>
      <w:r>
        <w:rPr>
          <w:rStyle w:val="10"/>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pPr>
      <w:r>
        <w:rPr>
          <w:color w:val="242424"/>
        </w:rPr>
        <w:br w:type="page"/>
      </w:r>
      <w:r>
        <w:rPr>
          <w:rFonts w:hint="eastAsia"/>
          <w:color w:val="242424"/>
        </w:rPr>
        <w:t>7.</w:t>
      </w:r>
      <w:r>
        <w:t>符合</w:t>
      </w:r>
      <w:r>
        <w:rPr>
          <w:rFonts w:hint="eastAsia"/>
        </w:rPr>
        <w:t>本项目的规格要求。</w:t>
      </w:r>
    </w:p>
    <w:tbl>
      <w:tblPr>
        <w:tblStyle w:val="8"/>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17"/>
        <w:gridCol w:w="4135"/>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26" w:type="dxa"/>
            <w:vAlign w:val="center"/>
          </w:tcPr>
          <w:p>
            <w:pPr>
              <w:widowControl/>
              <w:jc w:val="center"/>
              <w:rPr>
                <w:color w:val="242424"/>
                <w:szCs w:val="21"/>
              </w:rPr>
            </w:pPr>
            <w:r>
              <w:rPr>
                <w:color w:val="242424"/>
                <w:szCs w:val="21"/>
              </w:rPr>
              <w:br w:type="page"/>
            </w:r>
            <w:r>
              <w:rPr>
                <w:rFonts w:hint="eastAsia"/>
                <w:color w:val="242424"/>
                <w:szCs w:val="21"/>
              </w:rPr>
              <w:t>章节</w:t>
            </w:r>
          </w:p>
        </w:tc>
        <w:tc>
          <w:tcPr>
            <w:tcW w:w="1217" w:type="dxa"/>
            <w:vAlign w:val="center"/>
          </w:tcPr>
          <w:p>
            <w:pPr>
              <w:widowControl/>
              <w:jc w:val="center"/>
              <w:rPr>
                <w:color w:val="242424"/>
                <w:szCs w:val="21"/>
              </w:rPr>
            </w:pPr>
            <w:r>
              <w:rPr>
                <w:rFonts w:hint="eastAsia"/>
                <w:color w:val="242424"/>
                <w:szCs w:val="21"/>
              </w:rPr>
              <w:t>名称</w:t>
            </w:r>
          </w:p>
        </w:tc>
        <w:tc>
          <w:tcPr>
            <w:tcW w:w="4135" w:type="dxa"/>
            <w:vAlign w:val="center"/>
          </w:tcPr>
          <w:p>
            <w:pPr>
              <w:widowControl/>
              <w:jc w:val="center"/>
              <w:rPr>
                <w:color w:val="242424"/>
                <w:szCs w:val="21"/>
              </w:rPr>
            </w:pPr>
            <w:r>
              <w:rPr>
                <w:rFonts w:hint="eastAsia"/>
                <w:color w:val="242424"/>
                <w:szCs w:val="21"/>
              </w:rPr>
              <w:t>规定的要求及参数</w:t>
            </w:r>
          </w:p>
        </w:tc>
        <w:tc>
          <w:tcPr>
            <w:tcW w:w="1134" w:type="dxa"/>
            <w:vAlign w:val="center"/>
          </w:tcPr>
          <w:p>
            <w:pPr>
              <w:widowControl/>
              <w:jc w:val="center"/>
              <w:rPr>
                <w:color w:val="242424"/>
                <w:szCs w:val="21"/>
              </w:rPr>
            </w:pPr>
            <w:r>
              <w:rPr>
                <w:rFonts w:hint="eastAsia"/>
                <w:color w:val="242424"/>
                <w:szCs w:val="21"/>
              </w:rPr>
              <w:t>响应文件响应承诺</w:t>
            </w:r>
          </w:p>
        </w:tc>
        <w:tc>
          <w:tcPr>
            <w:tcW w:w="1418" w:type="dxa"/>
            <w:vAlign w:val="center"/>
          </w:tcPr>
          <w:p>
            <w:pPr>
              <w:widowControl/>
              <w:jc w:val="center"/>
              <w:rPr>
                <w:color w:val="242424"/>
                <w:szCs w:val="21"/>
              </w:rPr>
            </w:pPr>
            <w:r>
              <w:rPr>
                <w:rFonts w:hint="eastAsia"/>
                <w:color w:val="242424"/>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426" w:type="dxa"/>
            <w:vAlign w:val="center"/>
          </w:tcPr>
          <w:p>
            <w:pPr>
              <w:widowControl/>
              <w:rPr>
                <w:color w:val="242424"/>
              </w:rPr>
            </w:pPr>
            <w:r>
              <w:rPr>
                <w:rFonts w:hint="eastAsia"/>
                <w:color w:val="242424"/>
              </w:rPr>
              <w:t>1</w:t>
            </w:r>
          </w:p>
        </w:tc>
        <w:tc>
          <w:tcPr>
            <w:tcW w:w="1217" w:type="dxa"/>
            <w:vAlign w:val="center"/>
          </w:tcPr>
          <w:p>
            <w:pPr>
              <w:jc w:val="center"/>
              <w:rPr>
                <w:rFonts w:ascii="宋体" w:hAnsi="宋体" w:cs="Tahoma"/>
                <w:color w:val="000000"/>
                <w:szCs w:val="21"/>
              </w:rPr>
            </w:pPr>
            <w:r>
              <w:rPr>
                <w:rFonts w:hint="eastAsia" w:cs="Tahoma"/>
                <w:color w:val="000000"/>
                <w:szCs w:val="21"/>
              </w:rPr>
              <w:t>棉粒绒</w:t>
            </w:r>
          </w:p>
        </w:tc>
        <w:tc>
          <w:tcPr>
            <w:tcW w:w="4135" w:type="dxa"/>
          </w:tcPr>
          <w:p>
            <w:pPr>
              <w:widowControl/>
              <w:jc w:val="left"/>
              <w:rPr>
                <w:rFonts w:hint="eastAsia"/>
                <w:szCs w:val="21"/>
              </w:rPr>
            </w:pPr>
            <w:r>
              <w:rPr>
                <w:rFonts w:hint="eastAsia"/>
                <w:szCs w:val="21"/>
              </w:rPr>
              <w:t xml:space="preserve">颜色：蓝色。  </w:t>
            </w:r>
          </w:p>
          <w:p>
            <w:pPr>
              <w:widowControl/>
              <w:jc w:val="left"/>
              <w:rPr>
                <w:rFonts w:hint="eastAsia"/>
                <w:szCs w:val="21"/>
              </w:rPr>
            </w:pPr>
            <w:r>
              <w:rPr>
                <w:rFonts w:hint="eastAsia"/>
                <w:szCs w:val="21"/>
              </w:rPr>
              <w:t xml:space="preserve">门幅：约2.8M                         </w:t>
            </w:r>
          </w:p>
          <w:p>
            <w:pPr>
              <w:widowControl/>
              <w:jc w:val="left"/>
              <w:rPr>
                <w:rFonts w:hint="eastAsia"/>
                <w:szCs w:val="21"/>
              </w:rPr>
            </w:pPr>
            <w:r>
              <w:rPr>
                <w:rFonts w:hint="eastAsia"/>
                <w:szCs w:val="21"/>
              </w:rPr>
              <w:t xml:space="preserve">材质：涤纶混纺。                 </w:t>
            </w:r>
          </w:p>
          <w:p>
            <w:pPr>
              <w:widowControl/>
              <w:jc w:val="left"/>
              <w:rPr>
                <w:rFonts w:hint="eastAsia"/>
                <w:szCs w:val="21"/>
              </w:rPr>
            </w:pPr>
            <w:r>
              <w:rPr>
                <w:rFonts w:hint="eastAsia"/>
                <w:szCs w:val="21"/>
              </w:rPr>
              <w:t xml:space="preserve">PH值：4.0-9.0.                         水洗尺寸变化率：达到国家标准                                    成品克重：1000g/m.                  </w:t>
            </w:r>
          </w:p>
          <w:p>
            <w:pPr>
              <w:widowControl/>
              <w:jc w:val="left"/>
              <w:rPr>
                <w:szCs w:val="21"/>
              </w:rPr>
            </w:pPr>
            <w:r>
              <w:rPr>
                <w:rFonts w:hint="eastAsia"/>
                <w:szCs w:val="21"/>
              </w:rPr>
              <w:t>遮光率：≥85%</w:t>
            </w:r>
          </w:p>
        </w:tc>
        <w:tc>
          <w:tcPr>
            <w:tcW w:w="1134" w:type="dxa"/>
            <w:vAlign w:val="center"/>
          </w:tcPr>
          <w:p>
            <w:pPr>
              <w:widowControl/>
              <w:rPr>
                <w:color w:val="242424"/>
              </w:rPr>
            </w:pPr>
          </w:p>
        </w:tc>
        <w:tc>
          <w:tcPr>
            <w:tcW w:w="141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26" w:type="dxa"/>
            <w:vAlign w:val="center"/>
          </w:tcPr>
          <w:p>
            <w:pPr>
              <w:widowControl/>
              <w:rPr>
                <w:color w:val="242424"/>
              </w:rPr>
            </w:pPr>
            <w:r>
              <w:rPr>
                <w:rFonts w:hint="eastAsia"/>
                <w:color w:val="242424"/>
              </w:rPr>
              <w:t>2</w:t>
            </w:r>
          </w:p>
        </w:tc>
        <w:tc>
          <w:tcPr>
            <w:tcW w:w="1217" w:type="dxa"/>
            <w:vAlign w:val="center"/>
          </w:tcPr>
          <w:p>
            <w:pPr>
              <w:jc w:val="center"/>
              <w:rPr>
                <w:rFonts w:ascii="宋体" w:hAnsi="宋体" w:cs="Tahoma"/>
                <w:color w:val="000000"/>
                <w:szCs w:val="21"/>
              </w:rPr>
            </w:pPr>
            <w:r>
              <w:rPr>
                <w:rFonts w:hint="eastAsia" w:cs="Tahoma"/>
                <w:color w:val="000000"/>
                <w:szCs w:val="21"/>
              </w:rPr>
              <w:t>开合电机</w:t>
            </w:r>
          </w:p>
        </w:tc>
        <w:tc>
          <w:tcPr>
            <w:tcW w:w="4135" w:type="dxa"/>
          </w:tcPr>
          <w:p>
            <w:pPr>
              <w:widowControl/>
              <w:jc w:val="left"/>
              <w:rPr>
                <w:szCs w:val="21"/>
              </w:rPr>
            </w:pPr>
            <w:r>
              <w:rPr>
                <w:rFonts w:hint="eastAsia"/>
                <w:szCs w:val="21"/>
              </w:rPr>
              <w:t>遥控红外线控制 RS485数字技术。                      交流控制，功率约65W</w:t>
            </w:r>
          </w:p>
        </w:tc>
        <w:tc>
          <w:tcPr>
            <w:tcW w:w="1134" w:type="dxa"/>
            <w:vAlign w:val="center"/>
          </w:tcPr>
          <w:p>
            <w:pPr>
              <w:widowControl/>
              <w:rPr>
                <w:color w:val="242424"/>
              </w:rPr>
            </w:pPr>
          </w:p>
        </w:tc>
        <w:tc>
          <w:tcPr>
            <w:tcW w:w="141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6" w:type="dxa"/>
            <w:vAlign w:val="center"/>
          </w:tcPr>
          <w:p>
            <w:pPr>
              <w:widowControl/>
              <w:rPr>
                <w:color w:val="242424"/>
              </w:rPr>
            </w:pPr>
            <w:r>
              <w:rPr>
                <w:rFonts w:hint="eastAsia"/>
                <w:color w:val="242424"/>
              </w:rPr>
              <w:t>3</w:t>
            </w:r>
          </w:p>
        </w:tc>
        <w:tc>
          <w:tcPr>
            <w:tcW w:w="1217" w:type="dxa"/>
            <w:vAlign w:val="center"/>
          </w:tcPr>
          <w:p>
            <w:pPr>
              <w:jc w:val="center"/>
              <w:rPr>
                <w:rFonts w:ascii="宋体" w:hAnsi="宋体" w:cs="Tahoma"/>
                <w:color w:val="000000"/>
                <w:sz w:val="22"/>
              </w:rPr>
            </w:pPr>
            <w:r>
              <w:rPr>
                <w:rFonts w:hint="eastAsia" w:cs="Tahoma"/>
                <w:color w:val="000000"/>
                <w:sz w:val="22"/>
              </w:rPr>
              <w:t>电动轨道</w:t>
            </w:r>
          </w:p>
        </w:tc>
        <w:tc>
          <w:tcPr>
            <w:tcW w:w="4135" w:type="dxa"/>
          </w:tcPr>
          <w:p>
            <w:pPr>
              <w:jc w:val="left"/>
              <w:rPr>
                <w:szCs w:val="21"/>
              </w:rPr>
            </w:pPr>
            <w:r>
              <w:rPr>
                <w:rFonts w:hint="eastAsia"/>
                <w:szCs w:val="21"/>
              </w:rPr>
              <w:t>材质铝合金，超静音设计，表层采用氧化工艺处理，不褪色，耐磨损</w:t>
            </w:r>
          </w:p>
        </w:tc>
        <w:tc>
          <w:tcPr>
            <w:tcW w:w="1134" w:type="dxa"/>
            <w:vAlign w:val="center"/>
          </w:tcPr>
          <w:p>
            <w:pPr>
              <w:widowControl/>
              <w:rPr>
                <w:color w:val="242424"/>
              </w:rPr>
            </w:pPr>
          </w:p>
        </w:tc>
        <w:tc>
          <w:tcPr>
            <w:tcW w:w="141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426" w:type="dxa"/>
            <w:vAlign w:val="center"/>
          </w:tcPr>
          <w:p>
            <w:pPr>
              <w:widowControl/>
              <w:rPr>
                <w:color w:val="242424"/>
              </w:rPr>
            </w:pPr>
            <w:r>
              <w:rPr>
                <w:rFonts w:hint="eastAsia"/>
                <w:color w:val="242424"/>
              </w:rPr>
              <w:t>4</w:t>
            </w:r>
          </w:p>
        </w:tc>
        <w:tc>
          <w:tcPr>
            <w:tcW w:w="1217" w:type="dxa"/>
            <w:vAlign w:val="center"/>
          </w:tcPr>
          <w:p>
            <w:pPr>
              <w:jc w:val="center"/>
              <w:rPr>
                <w:rFonts w:ascii="宋体" w:hAnsi="宋体" w:cs="Tahoma"/>
                <w:color w:val="000000"/>
                <w:sz w:val="22"/>
              </w:rPr>
            </w:pPr>
            <w:r>
              <w:rPr>
                <w:rFonts w:hint="eastAsia" w:cs="Tahoma"/>
                <w:color w:val="000000"/>
                <w:sz w:val="22"/>
              </w:rPr>
              <w:t>机房卷帘</w:t>
            </w:r>
          </w:p>
        </w:tc>
        <w:tc>
          <w:tcPr>
            <w:tcW w:w="4135" w:type="dxa"/>
          </w:tcPr>
          <w:p>
            <w:pPr>
              <w:widowControl/>
              <w:jc w:val="left"/>
              <w:rPr>
                <w:rFonts w:hint="eastAsia"/>
                <w:szCs w:val="21"/>
              </w:rPr>
            </w:pPr>
            <w:r>
              <w:rPr>
                <w:rFonts w:hint="eastAsia"/>
                <w:szCs w:val="21"/>
              </w:rPr>
              <w:t xml:space="preserve">颜色：浅蓝。                  </w:t>
            </w:r>
          </w:p>
          <w:p>
            <w:pPr>
              <w:widowControl/>
              <w:jc w:val="left"/>
              <w:rPr>
                <w:szCs w:val="21"/>
              </w:rPr>
            </w:pPr>
            <w:r>
              <w:rPr>
                <w:rFonts w:hint="eastAsia"/>
                <w:szCs w:val="21"/>
              </w:rPr>
              <w:t>背面涂银全遮光</w:t>
            </w:r>
          </w:p>
        </w:tc>
        <w:tc>
          <w:tcPr>
            <w:tcW w:w="1134" w:type="dxa"/>
            <w:vAlign w:val="center"/>
          </w:tcPr>
          <w:p>
            <w:pPr>
              <w:widowControl/>
              <w:rPr>
                <w:color w:val="242424"/>
              </w:rPr>
            </w:pPr>
          </w:p>
        </w:tc>
        <w:tc>
          <w:tcPr>
            <w:tcW w:w="141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426" w:type="dxa"/>
            <w:vAlign w:val="center"/>
          </w:tcPr>
          <w:p>
            <w:pPr>
              <w:widowControl/>
              <w:rPr>
                <w:color w:val="242424"/>
              </w:rPr>
            </w:pPr>
            <w:r>
              <w:rPr>
                <w:rFonts w:hint="eastAsia"/>
                <w:color w:val="242424"/>
              </w:rPr>
              <w:t>5</w:t>
            </w:r>
          </w:p>
        </w:tc>
        <w:tc>
          <w:tcPr>
            <w:tcW w:w="1217" w:type="dxa"/>
            <w:vAlign w:val="center"/>
          </w:tcPr>
          <w:p>
            <w:pPr>
              <w:jc w:val="center"/>
              <w:rPr>
                <w:rFonts w:ascii="宋体" w:hAnsi="宋体" w:cs="Tahoma"/>
                <w:color w:val="000000"/>
                <w:sz w:val="22"/>
              </w:rPr>
            </w:pPr>
            <w:r>
              <w:rPr>
                <w:rFonts w:hint="eastAsia" w:cs="Tahoma"/>
                <w:color w:val="000000"/>
                <w:sz w:val="22"/>
              </w:rPr>
              <w:t>加厚卷管</w:t>
            </w:r>
          </w:p>
        </w:tc>
        <w:tc>
          <w:tcPr>
            <w:tcW w:w="4135" w:type="dxa"/>
          </w:tcPr>
          <w:p>
            <w:pPr>
              <w:widowControl/>
              <w:jc w:val="left"/>
              <w:rPr>
                <w:szCs w:val="21"/>
              </w:rPr>
            </w:pPr>
            <w:r>
              <w:rPr>
                <w:rFonts w:hint="eastAsia"/>
                <w:szCs w:val="21"/>
              </w:rPr>
              <w:t>须大于等于38mm管径。</w:t>
            </w:r>
          </w:p>
        </w:tc>
        <w:tc>
          <w:tcPr>
            <w:tcW w:w="1134" w:type="dxa"/>
            <w:vAlign w:val="center"/>
          </w:tcPr>
          <w:p>
            <w:pPr>
              <w:widowControl/>
              <w:rPr>
                <w:color w:val="242424"/>
              </w:rPr>
            </w:pPr>
          </w:p>
        </w:tc>
        <w:tc>
          <w:tcPr>
            <w:tcW w:w="1418" w:type="dxa"/>
            <w:vAlign w:val="center"/>
          </w:tcPr>
          <w:p>
            <w:pPr>
              <w:widowControl/>
              <w:rPr>
                <w:color w:val="2424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26" w:type="dxa"/>
            <w:vAlign w:val="center"/>
          </w:tcPr>
          <w:p>
            <w:pPr>
              <w:widowControl/>
              <w:rPr>
                <w:color w:val="242424"/>
              </w:rPr>
            </w:pPr>
            <w:r>
              <w:rPr>
                <w:rFonts w:hint="eastAsia"/>
                <w:color w:val="242424"/>
              </w:rPr>
              <w:t>6</w:t>
            </w:r>
          </w:p>
        </w:tc>
        <w:tc>
          <w:tcPr>
            <w:tcW w:w="1217" w:type="dxa"/>
            <w:vAlign w:val="center"/>
          </w:tcPr>
          <w:p>
            <w:pPr>
              <w:jc w:val="center"/>
              <w:rPr>
                <w:rFonts w:ascii="宋体" w:hAnsi="宋体" w:cs="Tahoma"/>
                <w:color w:val="000000"/>
                <w:sz w:val="22"/>
              </w:rPr>
            </w:pPr>
            <w:r>
              <w:rPr>
                <w:rFonts w:hint="eastAsia" w:cs="Tahoma"/>
                <w:color w:val="000000"/>
                <w:sz w:val="22"/>
              </w:rPr>
              <w:t>安装费用</w:t>
            </w:r>
          </w:p>
        </w:tc>
        <w:tc>
          <w:tcPr>
            <w:tcW w:w="4135" w:type="dxa"/>
            <w:vAlign w:val="center"/>
          </w:tcPr>
          <w:p>
            <w:pPr>
              <w:widowControl/>
              <w:jc w:val="center"/>
              <w:rPr>
                <w:szCs w:val="21"/>
              </w:rPr>
            </w:pPr>
            <w:r>
              <w:rPr>
                <w:rFonts w:hint="eastAsia"/>
                <w:szCs w:val="21"/>
              </w:rPr>
              <w:t>含材料及人工费用</w:t>
            </w:r>
          </w:p>
        </w:tc>
        <w:tc>
          <w:tcPr>
            <w:tcW w:w="1134" w:type="dxa"/>
            <w:vAlign w:val="center"/>
          </w:tcPr>
          <w:p>
            <w:pPr>
              <w:widowControl/>
              <w:rPr>
                <w:color w:val="242424"/>
              </w:rPr>
            </w:pPr>
          </w:p>
        </w:tc>
        <w:tc>
          <w:tcPr>
            <w:tcW w:w="1418" w:type="dxa"/>
            <w:vAlign w:val="center"/>
          </w:tcPr>
          <w:p>
            <w:pPr>
              <w:widowControl/>
              <w:rPr>
                <w:color w:val="242424"/>
              </w:rPr>
            </w:pPr>
          </w:p>
        </w:tc>
      </w:tr>
    </w:tbl>
    <w:p>
      <w:pPr>
        <w:spacing w:line="440" w:lineRule="exact"/>
        <w:ind w:firstLine="482"/>
        <w:jc w:val="right"/>
        <w:rPr>
          <w:rFonts w:ascii="宋体" w:hAnsi="宋体" w:cs="黑体"/>
          <w:szCs w:val="21"/>
        </w:rPr>
      </w:pPr>
    </w:p>
    <w:p>
      <w:pPr>
        <w:wordWrap w:val="0"/>
        <w:spacing w:line="440" w:lineRule="exact"/>
        <w:ind w:firstLine="482"/>
        <w:jc w:val="right"/>
        <w:rPr>
          <w:rFonts w:ascii="宋体" w:cs="黑体"/>
          <w:szCs w:val="21"/>
        </w:rPr>
      </w:pPr>
      <w:r>
        <w:rPr>
          <w:rFonts w:hint="eastAsia" w:ascii="宋体" w:hAnsi="宋体" w:cs="黑体"/>
          <w:szCs w:val="21"/>
        </w:rPr>
        <w:t xml:space="preserve">投标人（全称并加盖公章）：               </w:t>
      </w:r>
    </w:p>
    <w:p>
      <w:pPr>
        <w:wordWrap w:val="0"/>
        <w:spacing w:line="440" w:lineRule="exact"/>
        <w:ind w:firstLine="482"/>
        <w:jc w:val="right"/>
        <w:rPr>
          <w:rFonts w:ascii="宋体" w:cs="黑体"/>
          <w:szCs w:val="21"/>
          <w:u w:val="single"/>
        </w:rPr>
      </w:pPr>
      <w:r>
        <w:rPr>
          <w:rFonts w:hint="eastAsia" w:ascii="宋体" w:hAnsi="宋体" w:cs="黑体"/>
          <w:szCs w:val="21"/>
        </w:rPr>
        <w:t>投标人</w:t>
      </w:r>
      <w:r>
        <w:rPr>
          <w:rFonts w:hint="eastAsia" w:ascii="宋体" w:hAnsi="宋体" w:cs="黑体"/>
          <w:szCs w:val="21"/>
          <w:lang w:val="zh-CN"/>
        </w:rPr>
        <w:t xml:space="preserve">代表签字：               </w:t>
      </w:r>
    </w:p>
    <w:p>
      <w:pPr>
        <w:spacing w:line="440" w:lineRule="exact"/>
        <w:ind w:firstLine="482"/>
        <w:jc w:val="right"/>
      </w:pPr>
      <w:r>
        <w:rPr>
          <w:rFonts w:hint="eastAsia"/>
          <w:lang w:val="zh-CN"/>
        </w:rPr>
        <w:t>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widowControl/>
        <w:jc w:val="left"/>
        <w:rPr>
          <w:color w:val="242424"/>
        </w:rPr>
      </w:pPr>
    </w:p>
    <w:p>
      <w:pPr>
        <w:widowControl/>
        <w:jc w:val="left"/>
        <w:rPr>
          <w:color w:val="242424"/>
        </w:rPr>
      </w:pPr>
    </w:p>
    <w:p>
      <w:pPr>
        <w:widowControl/>
        <w:jc w:val="left"/>
        <w:rPr>
          <w:rFonts w:ascii="宋体"/>
          <w:szCs w:val="21"/>
        </w:rPr>
      </w:pPr>
      <w:r>
        <w:rPr>
          <w:color w:val="242424"/>
        </w:rPr>
        <w:br w:type="page"/>
      </w:r>
      <w:r>
        <w:rPr>
          <w:rFonts w:hint="eastAsia"/>
          <w:color w:val="242424"/>
        </w:rPr>
        <w:t>8.报价单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hint="eastAsia" w:ascii="宋体" w:hAnsi="宋体" w:cs="黑体"/>
          <w:szCs w:val="21"/>
          <w:lang w:val="zh-CN"/>
        </w:rPr>
      </w:pPr>
      <w:r>
        <w:rPr>
          <w:rFonts w:hint="eastAsia" w:ascii="宋体" w:hAnsi="宋体" w:cs="黑体"/>
          <w:szCs w:val="21"/>
        </w:rPr>
        <w:t>报价人：</w:t>
      </w:r>
      <w:r>
        <w:rPr>
          <w:rFonts w:hint="eastAsia" w:ascii="宋体" w:hAnsi="宋体" w:cs="黑体"/>
          <w:sz w:val="18"/>
          <w:szCs w:val="18"/>
        </w:rPr>
        <w:t>（全称并加盖公章）</w:t>
      </w:r>
      <w:r>
        <w:rPr>
          <w:rFonts w:hint="eastAsia" w:ascii="宋体" w:hAnsi="宋体" w:cs="黑体"/>
          <w:sz w:val="18"/>
          <w:szCs w:val="18"/>
          <w:lang w:val="en-US" w:eastAsia="zh-CN"/>
        </w:rPr>
        <w:t xml:space="preserve">                                                  </w:t>
      </w:r>
      <w:bookmarkStart w:id="0" w:name="_GoBack"/>
      <w:bookmarkEnd w:id="0"/>
      <w:r>
        <w:rPr>
          <w:rFonts w:hint="eastAsia" w:ascii="宋体" w:hAnsi="宋体" w:cs="黑体"/>
          <w:szCs w:val="21"/>
          <w:lang w:val="zh-CN"/>
        </w:rPr>
        <w:t>货币单位：元</w:t>
      </w:r>
    </w:p>
    <w:p>
      <w:pPr>
        <w:autoSpaceDE w:val="0"/>
        <w:autoSpaceDN w:val="0"/>
        <w:adjustRightInd w:val="0"/>
        <w:spacing w:line="380" w:lineRule="exact"/>
        <w:rPr>
          <w:rFonts w:hint="eastAsia" w:ascii="宋体" w:hAnsi="宋体" w:cs="黑体"/>
          <w:szCs w:val="21"/>
          <w:lang w:val="zh-CN"/>
        </w:rPr>
      </w:pPr>
    </w:p>
    <w:p>
      <w:pPr>
        <w:autoSpaceDE w:val="0"/>
        <w:autoSpaceDN w:val="0"/>
        <w:adjustRightInd w:val="0"/>
        <w:spacing w:line="380" w:lineRule="exact"/>
        <w:rPr>
          <w:rFonts w:hint="eastAsia" w:ascii="宋体" w:hAnsi="宋体" w:cs="黑体"/>
          <w:szCs w:val="21"/>
          <w:lang w:val="zh-CN"/>
        </w:rPr>
      </w:pPr>
    </w:p>
    <w:tbl>
      <w:tblPr>
        <w:tblStyle w:val="7"/>
        <w:tblW w:w="10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349"/>
        <w:gridCol w:w="1080"/>
        <w:gridCol w:w="1620"/>
        <w:gridCol w:w="1410"/>
        <w:gridCol w:w="1155"/>
        <w:gridCol w:w="1140"/>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1207" w:type="dxa"/>
            <w:vAlign w:val="center"/>
          </w:tcPr>
          <w:p>
            <w:pPr>
              <w:jc w:val="center"/>
              <w:rPr>
                <w:rFonts w:hint="eastAsia" w:ascii="宋体" w:hAnsi="宋体" w:cs="黑体"/>
                <w:sz w:val="24"/>
                <w:lang w:val="zh-CN"/>
              </w:rPr>
            </w:pPr>
            <w:r>
              <w:rPr>
                <w:rFonts w:hint="eastAsia" w:ascii="宋体" w:hAnsi="宋体" w:cs="黑体"/>
                <w:sz w:val="24"/>
                <w:lang w:val="zh-CN"/>
              </w:rPr>
              <w:t>项目名称</w:t>
            </w:r>
          </w:p>
        </w:tc>
        <w:tc>
          <w:tcPr>
            <w:tcW w:w="1349" w:type="dxa"/>
            <w:vAlign w:val="center"/>
          </w:tcPr>
          <w:p>
            <w:pPr>
              <w:jc w:val="center"/>
              <w:rPr>
                <w:rFonts w:ascii="宋体" w:cs="黑体"/>
                <w:sz w:val="24"/>
                <w:lang w:val="zh-CN"/>
              </w:rPr>
            </w:pPr>
            <w:r>
              <w:rPr>
                <w:rFonts w:hint="eastAsia" w:ascii="宋体" w:hAnsi="宋体" w:cs="黑体"/>
                <w:sz w:val="24"/>
                <w:lang w:val="zh-CN"/>
              </w:rPr>
              <w:t>产品清单</w:t>
            </w:r>
          </w:p>
        </w:tc>
        <w:tc>
          <w:tcPr>
            <w:tcW w:w="1080" w:type="dxa"/>
            <w:vAlign w:val="center"/>
          </w:tcPr>
          <w:p>
            <w:pPr>
              <w:jc w:val="center"/>
              <w:rPr>
                <w:rFonts w:ascii="宋体" w:cs="黑体"/>
                <w:sz w:val="24"/>
                <w:lang w:val="zh-CN"/>
              </w:rPr>
            </w:pPr>
            <w:r>
              <w:rPr>
                <w:rFonts w:hint="eastAsia" w:ascii="宋体" w:hAnsi="宋体" w:cs="黑体"/>
                <w:sz w:val="24"/>
              </w:rPr>
              <w:t>发包价（元）</w:t>
            </w:r>
          </w:p>
        </w:tc>
        <w:tc>
          <w:tcPr>
            <w:tcW w:w="1620" w:type="dxa"/>
            <w:vAlign w:val="center"/>
          </w:tcPr>
          <w:p>
            <w:pPr>
              <w:jc w:val="center"/>
              <w:rPr>
                <w:rFonts w:ascii="宋体" w:hAnsi="宋体" w:cs="黑体"/>
                <w:sz w:val="24"/>
                <w:lang w:val="zh-CN"/>
              </w:rPr>
            </w:pPr>
            <w:r>
              <w:rPr>
                <w:rFonts w:hint="eastAsia" w:ascii="宋体" w:hAnsi="宋体" w:cs="黑体"/>
                <w:sz w:val="24"/>
                <w:lang w:val="zh-CN"/>
              </w:rPr>
              <w:t>数量及单位（拟购）</w:t>
            </w:r>
          </w:p>
        </w:tc>
        <w:tc>
          <w:tcPr>
            <w:tcW w:w="1410" w:type="dxa"/>
            <w:vAlign w:val="center"/>
          </w:tcPr>
          <w:p>
            <w:pPr>
              <w:jc w:val="center"/>
              <w:rPr>
                <w:rFonts w:ascii="宋体" w:hAnsi="宋体" w:cs="黑体"/>
                <w:sz w:val="24"/>
                <w:lang w:val="zh-CN"/>
              </w:rPr>
            </w:pPr>
            <w:r>
              <w:rPr>
                <w:rFonts w:hint="eastAsia" w:ascii="宋体" w:hAnsi="宋体" w:cs="黑体"/>
                <w:sz w:val="24"/>
                <w:lang w:val="zh-CN"/>
              </w:rPr>
              <w:t>报价</w:t>
            </w:r>
          </w:p>
          <w:p>
            <w:pPr>
              <w:jc w:val="center"/>
              <w:rPr>
                <w:rFonts w:ascii="宋体" w:cs="黑体"/>
                <w:sz w:val="24"/>
                <w:lang w:val="zh-CN"/>
              </w:rPr>
            </w:pPr>
            <w:r>
              <w:rPr>
                <w:rFonts w:hint="eastAsia" w:ascii="宋体" w:hAnsi="宋体" w:cs="黑体"/>
                <w:sz w:val="24"/>
                <w:lang w:val="zh-CN"/>
              </w:rPr>
              <w:t>（单价）</w:t>
            </w:r>
          </w:p>
        </w:tc>
        <w:tc>
          <w:tcPr>
            <w:tcW w:w="1155" w:type="dxa"/>
            <w:vAlign w:val="center"/>
          </w:tcPr>
          <w:p>
            <w:pPr>
              <w:jc w:val="center"/>
              <w:rPr>
                <w:rFonts w:ascii="宋体" w:hAnsi="宋体" w:cs="黑体"/>
                <w:sz w:val="24"/>
                <w:lang w:val="zh-CN"/>
              </w:rPr>
            </w:pPr>
            <w:r>
              <w:rPr>
                <w:rFonts w:hint="eastAsia" w:ascii="宋体" w:hAnsi="宋体" w:cs="黑体"/>
                <w:sz w:val="24"/>
                <w:lang w:val="zh-CN"/>
              </w:rPr>
              <w:t>报价</w:t>
            </w:r>
          </w:p>
          <w:p>
            <w:pPr>
              <w:jc w:val="center"/>
              <w:rPr>
                <w:rFonts w:ascii="宋体" w:cs="黑体"/>
                <w:sz w:val="24"/>
                <w:lang w:val="zh-CN"/>
              </w:rPr>
            </w:pPr>
            <w:r>
              <w:rPr>
                <w:rFonts w:hint="eastAsia" w:ascii="宋体" w:hAnsi="宋体" w:cs="黑体"/>
                <w:sz w:val="24"/>
                <w:lang w:val="zh-CN"/>
              </w:rPr>
              <w:t>（总价）</w:t>
            </w:r>
          </w:p>
        </w:tc>
        <w:tc>
          <w:tcPr>
            <w:tcW w:w="1140" w:type="dxa"/>
            <w:vAlign w:val="center"/>
          </w:tcPr>
          <w:p>
            <w:pPr>
              <w:jc w:val="center"/>
              <w:rPr>
                <w:rFonts w:ascii="宋体" w:hAnsi="宋体" w:cs="黑体"/>
                <w:sz w:val="24"/>
                <w:lang w:val="zh-CN"/>
              </w:rPr>
            </w:pPr>
            <w:r>
              <w:rPr>
                <w:rFonts w:hint="eastAsia" w:ascii="宋体" w:hAnsi="宋体" w:cs="黑体"/>
                <w:sz w:val="24"/>
                <w:lang w:val="zh-CN"/>
              </w:rPr>
              <w:t>完工</w:t>
            </w:r>
          </w:p>
          <w:p>
            <w:pPr>
              <w:jc w:val="center"/>
              <w:rPr>
                <w:rFonts w:ascii="宋体" w:cs="黑体"/>
                <w:sz w:val="24"/>
                <w:lang w:val="zh-CN"/>
              </w:rPr>
            </w:pPr>
            <w:r>
              <w:rPr>
                <w:rFonts w:hint="eastAsia" w:ascii="宋体" w:hAnsi="宋体" w:cs="黑体"/>
                <w:sz w:val="24"/>
                <w:lang w:val="zh-CN"/>
              </w:rPr>
              <w:t>期限</w:t>
            </w:r>
          </w:p>
        </w:tc>
        <w:tc>
          <w:tcPr>
            <w:tcW w:w="1315" w:type="dxa"/>
            <w:vAlign w:val="center"/>
          </w:tcPr>
          <w:p>
            <w:pPr>
              <w:jc w:val="center"/>
              <w:rPr>
                <w:rFonts w:ascii="宋体" w:cs="黑体"/>
                <w:sz w:val="24"/>
                <w:lang w:val="zh-CN"/>
              </w:rPr>
            </w:pPr>
            <w:r>
              <w:rPr>
                <w:rFonts w:hint="eastAsia"/>
                <w:color w:val="2424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207" w:type="dxa"/>
            <w:vMerge w:val="restart"/>
            <w:vAlign w:val="center"/>
          </w:tcPr>
          <w:p>
            <w:pPr>
              <w:spacing w:line="460" w:lineRule="exact"/>
              <w:jc w:val="center"/>
              <w:rPr>
                <w:rFonts w:hint="eastAsia" w:ascii="宋体" w:hAnsi="宋体" w:cs="宋体"/>
                <w:sz w:val="24"/>
              </w:rPr>
            </w:pPr>
            <w:r>
              <w:rPr>
                <w:rFonts w:hint="eastAsia" w:ascii="宋体" w:hAnsi="宋体" w:cs="宋体"/>
                <w:sz w:val="24"/>
                <w:lang w:eastAsia="zh-CN"/>
              </w:rPr>
              <w:t>福建商贸学校</w:t>
            </w:r>
            <w:r>
              <w:rPr>
                <w:rFonts w:hint="eastAsia" w:ascii="宋体" w:hAnsi="宋体" w:cs="宋体"/>
                <w:sz w:val="24"/>
              </w:rPr>
              <w:t>多功能厅电动窗帘安装项目</w:t>
            </w:r>
          </w:p>
        </w:tc>
        <w:tc>
          <w:tcPr>
            <w:tcW w:w="1349" w:type="dxa"/>
            <w:vAlign w:val="center"/>
          </w:tcPr>
          <w:p>
            <w:pPr>
              <w:spacing w:line="460" w:lineRule="exact"/>
              <w:jc w:val="center"/>
              <w:rPr>
                <w:rFonts w:ascii="宋体" w:hAnsi="宋体" w:cs="宋体"/>
                <w:sz w:val="24"/>
              </w:rPr>
            </w:pPr>
            <w:r>
              <w:rPr>
                <w:rFonts w:hint="eastAsia" w:ascii="宋体" w:hAnsi="宋体" w:cs="宋体"/>
                <w:sz w:val="24"/>
              </w:rPr>
              <w:t>棉粒绒</w:t>
            </w:r>
          </w:p>
        </w:tc>
        <w:tc>
          <w:tcPr>
            <w:tcW w:w="1080" w:type="dxa"/>
            <w:vMerge w:val="restart"/>
            <w:vAlign w:val="center"/>
          </w:tcPr>
          <w:p>
            <w:pPr>
              <w:tabs>
                <w:tab w:val="left" w:pos="5355"/>
              </w:tabs>
              <w:jc w:val="center"/>
              <w:rPr>
                <w:rFonts w:ascii="宋体" w:cs="黑体"/>
                <w:sz w:val="24"/>
                <w:lang w:val="zh-CN"/>
              </w:rPr>
            </w:pPr>
            <w:r>
              <w:rPr>
                <w:rFonts w:hint="eastAsia" w:ascii="宋体" w:cs="黑体"/>
                <w:sz w:val="24"/>
                <w:lang w:val="zh-CN"/>
              </w:rPr>
              <w:t>29887</w:t>
            </w:r>
          </w:p>
        </w:tc>
        <w:tc>
          <w:tcPr>
            <w:tcW w:w="1620" w:type="dxa"/>
            <w:vAlign w:val="center"/>
          </w:tcPr>
          <w:p>
            <w:pPr>
              <w:tabs>
                <w:tab w:val="left" w:pos="5355"/>
              </w:tabs>
              <w:ind w:right="-99"/>
              <w:jc w:val="center"/>
              <w:rPr>
                <w:rFonts w:ascii="宋体" w:cs="黑体"/>
                <w:sz w:val="24"/>
                <w:lang w:val="zh-CN"/>
              </w:rPr>
            </w:pPr>
            <w:r>
              <w:rPr>
                <w:rFonts w:hint="eastAsia" w:ascii="宋体" w:cs="黑体"/>
                <w:sz w:val="24"/>
                <w:lang w:val="zh-CN"/>
              </w:rPr>
              <w:t>94米</w:t>
            </w:r>
          </w:p>
        </w:tc>
        <w:tc>
          <w:tcPr>
            <w:tcW w:w="1410" w:type="dxa"/>
            <w:vAlign w:val="center"/>
          </w:tcPr>
          <w:p>
            <w:pPr>
              <w:tabs>
                <w:tab w:val="left" w:pos="5355"/>
              </w:tabs>
              <w:ind w:right="-99"/>
              <w:jc w:val="center"/>
              <w:rPr>
                <w:rFonts w:ascii="宋体" w:cs="黑体"/>
                <w:sz w:val="24"/>
                <w:lang w:val="zh-CN"/>
              </w:rPr>
            </w:pPr>
          </w:p>
        </w:tc>
        <w:tc>
          <w:tcPr>
            <w:tcW w:w="1155" w:type="dxa"/>
            <w:vMerge w:val="restart"/>
            <w:vAlign w:val="center"/>
          </w:tcPr>
          <w:p>
            <w:pPr>
              <w:tabs>
                <w:tab w:val="left" w:pos="5355"/>
              </w:tabs>
              <w:jc w:val="center"/>
              <w:rPr>
                <w:rFonts w:ascii="宋体" w:cs="黑体"/>
                <w:sz w:val="24"/>
                <w:lang w:val="zh-CN"/>
              </w:rPr>
            </w:pPr>
          </w:p>
        </w:tc>
        <w:tc>
          <w:tcPr>
            <w:tcW w:w="1140" w:type="dxa"/>
            <w:vMerge w:val="restart"/>
            <w:vAlign w:val="center"/>
          </w:tcPr>
          <w:p>
            <w:pPr>
              <w:tabs>
                <w:tab w:val="left" w:pos="5355"/>
              </w:tabs>
              <w:ind w:right="-99"/>
              <w:jc w:val="center"/>
              <w:rPr>
                <w:rFonts w:ascii="宋体" w:cs="黑体"/>
                <w:sz w:val="24"/>
                <w:lang w:val="zh-CN"/>
              </w:rPr>
            </w:pPr>
          </w:p>
        </w:tc>
        <w:tc>
          <w:tcPr>
            <w:tcW w:w="1315" w:type="dxa"/>
            <w:vMerge w:val="restart"/>
            <w:vAlign w:val="center"/>
          </w:tcPr>
          <w:p>
            <w:pPr>
              <w:tabs>
                <w:tab w:val="left" w:pos="5355"/>
              </w:tabs>
              <w:jc w:val="both"/>
              <w:rPr>
                <w:rFonts w:ascii="宋体" w:cs="黑体"/>
                <w:sz w:val="24"/>
                <w:lang w:val="zh-CN"/>
              </w:rPr>
            </w:pPr>
            <w:r>
              <w:rPr>
                <w:rFonts w:ascii="宋体" w:hAnsi="宋体" w:eastAsia="宋体" w:cs="宋体"/>
                <w:sz w:val="24"/>
                <w:szCs w:val="24"/>
              </w:rPr>
              <w:t>投标产品需支持行业485协议，提供控制代码，并对接报告厅控制系统，否则不推荐为中标候选人。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207" w:type="dxa"/>
            <w:vMerge w:val="continue"/>
          </w:tcPr>
          <w:p>
            <w:pPr>
              <w:spacing w:line="460" w:lineRule="exact"/>
              <w:jc w:val="center"/>
              <w:rPr>
                <w:rFonts w:hint="eastAsia" w:ascii="宋体" w:hAnsi="宋体" w:cs="宋体"/>
                <w:sz w:val="24"/>
              </w:rPr>
            </w:pPr>
          </w:p>
        </w:tc>
        <w:tc>
          <w:tcPr>
            <w:tcW w:w="1349" w:type="dxa"/>
          </w:tcPr>
          <w:p>
            <w:pPr>
              <w:spacing w:line="460" w:lineRule="exact"/>
              <w:jc w:val="center"/>
              <w:rPr>
                <w:rFonts w:ascii="宋体" w:hAnsi="宋体" w:cs="宋体"/>
                <w:sz w:val="24"/>
              </w:rPr>
            </w:pPr>
            <w:r>
              <w:rPr>
                <w:rFonts w:hint="eastAsia" w:ascii="宋体" w:hAnsi="宋体" w:cs="宋体"/>
                <w:sz w:val="24"/>
              </w:rPr>
              <w:t>开合电机</w:t>
            </w:r>
          </w:p>
        </w:tc>
        <w:tc>
          <w:tcPr>
            <w:tcW w:w="1080" w:type="dxa"/>
            <w:vMerge w:val="continue"/>
            <w:vAlign w:val="center"/>
          </w:tcPr>
          <w:p>
            <w:pPr>
              <w:tabs>
                <w:tab w:val="left" w:pos="5355"/>
              </w:tabs>
              <w:jc w:val="center"/>
              <w:rPr>
                <w:rFonts w:ascii="宋体" w:cs="黑体"/>
                <w:sz w:val="24"/>
                <w:lang w:val="zh-CN"/>
              </w:rPr>
            </w:pPr>
          </w:p>
        </w:tc>
        <w:tc>
          <w:tcPr>
            <w:tcW w:w="1620" w:type="dxa"/>
            <w:vAlign w:val="center"/>
          </w:tcPr>
          <w:p>
            <w:pPr>
              <w:tabs>
                <w:tab w:val="left" w:pos="5355"/>
              </w:tabs>
              <w:ind w:right="-99"/>
              <w:jc w:val="center"/>
              <w:rPr>
                <w:rFonts w:ascii="宋体" w:cs="黑体"/>
                <w:sz w:val="24"/>
                <w:lang w:val="zh-CN"/>
              </w:rPr>
            </w:pPr>
            <w:r>
              <w:rPr>
                <w:rFonts w:hint="eastAsia" w:ascii="宋体" w:cs="黑体"/>
                <w:sz w:val="24"/>
                <w:lang w:val="zh-CN"/>
              </w:rPr>
              <w:t>7台</w:t>
            </w:r>
          </w:p>
        </w:tc>
        <w:tc>
          <w:tcPr>
            <w:tcW w:w="1410" w:type="dxa"/>
            <w:vAlign w:val="center"/>
          </w:tcPr>
          <w:p>
            <w:pPr>
              <w:tabs>
                <w:tab w:val="left" w:pos="5355"/>
              </w:tabs>
              <w:ind w:right="-99"/>
              <w:jc w:val="center"/>
              <w:rPr>
                <w:rFonts w:ascii="宋体" w:cs="黑体"/>
                <w:sz w:val="24"/>
                <w:lang w:val="zh-CN"/>
              </w:rPr>
            </w:pPr>
          </w:p>
        </w:tc>
        <w:tc>
          <w:tcPr>
            <w:tcW w:w="1155" w:type="dxa"/>
            <w:vMerge w:val="continue"/>
            <w:vAlign w:val="center"/>
          </w:tcPr>
          <w:p>
            <w:pPr>
              <w:tabs>
                <w:tab w:val="left" w:pos="5355"/>
              </w:tabs>
              <w:jc w:val="center"/>
              <w:rPr>
                <w:rFonts w:ascii="宋体" w:cs="黑体"/>
                <w:sz w:val="24"/>
                <w:lang w:val="zh-CN"/>
              </w:rPr>
            </w:pPr>
          </w:p>
        </w:tc>
        <w:tc>
          <w:tcPr>
            <w:tcW w:w="1140" w:type="dxa"/>
            <w:vMerge w:val="continue"/>
            <w:vAlign w:val="center"/>
          </w:tcPr>
          <w:p>
            <w:pPr>
              <w:tabs>
                <w:tab w:val="left" w:pos="5355"/>
              </w:tabs>
              <w:ind w:right="-99"/>
              <w:jc w:val="center"/>
              <w:rPr>
                <w:rFonts w:ascii="宋体" w:cs="黑体"/>
                <w:sz w:val="24"/>
                <w:lang w:val="zh-CN"/>
              </w:rPr>
            </w:pPr>
          </w:p>
        </w:tc>
        <w:tc>
          <w:tcPr>
            <w:tcW w:w="1315" w:type="dxa"/>
            <w:vMerge w:val="continue"/>
            <w:vAlign w:val="center"/>
          </w:tcPr>
          <w:p>
            <w:pPr>
              <w:tabs>
                <w:tab w:val="left" w:pos="5355"/>
              </w:tabs>
              <w:jc w:val="center"/>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207" w:type="dxa"/>
            <w:vMerge w:val="continue"/>
          </w:tcPr>
          <w:p>
            <w:pPr>
              <w:spacing w:line="460" w:lineRule="exact"/>
              <w:jc w:val="center"/>
              <w:rPr>
                <w:rFonts w:hint="eastAsia" w:ascii="宋体" w:hAnsi="宋体" w:cs="宋体"/>
                <w:sz w:val="24"/>
              </w:rPr>
            </w:pPr>
          </w:p>
        </w:tc>
        <w:tc>
          <w:tcPr>
            <w:tcW w:w="1349" w:type="dxa"/>
          </w:tcPr>
          <w:p>
            <w:pPr>
              <w:spacing w:line="460" w:lineRule="exact"/>
              <w:jc w:val="center"/>
              <w:rPr>
                <w:rFonts w:ascii="宋体" w:hAnsi="宋体" w:cs="宋体"/>
                <w:sz w:val="24"/>
              </w:rPr>
            </w:pPr>
            <w:r>
              <w:rPr>
                <w:rFonts w:hint="eastAsia" w:ascii="宋体" w:hAnsi="宋体" w:cs="宋体"/>
                <w:sz w:val="24"/>
              </w:rPr>
              <w:t>卷帘</w:t>
            </w:r>
          </w:p>
        </w:tc>
        <w:tc>
          <w:tcPr>
            <w:tcW w:w="1080" w:type="dxa"/>
            <w:vMerge w:val="continue"/>
            <w:vAlign w:val="center"/>
          </w:tcPr>
          <w:p>
            <w:pPr>
              <w:tabs>
                <w:tab w:val="left" w:pos="5355"/>
              </w:tabs>
              <w:jc w:val="center"/>
              <w:rPr>
                <w:rFonts w:ascii="宋体" w:cs="黑体"/>
                <w:sz w:val="24"/>
                <w:lang w:val="zh-CN"/>
              </w:rPr>
            </w:pPr>
          </w:p>
        </w:tc>
        <w:tc>
          <w:tcPr>
            <w:tcW w:w="1620" w:type="dxa"/>
            <w:vAlign w:val="center"/>
          </w:tcPr>
          <w:p>
            <w:pPr>
              <w:tabs>
                <w:tab w:val="left" w:pos="5355"/>
              </w:tabs>
              <w:ind w:right="-99"/>
              <w:jc w:val="center"/>
              <w:rPr>
                <w:rFonts w:ascii="宋体" w:cs="黑体"/>
                <w:sz w:val="24"/>
                <w:lang w:val="zh-CN"/>
              </w:rPr>
            </w:pPr>
            <w:r>
              <w:rPr>
                <w:rFonts w:hint="eastAsia" w:ascii="宋体" w:cs="黑体"/>
                <w:sz w:val="24"/>
                <w:lang w:val="zh-CN"/>
              </w:rPr>
              <w:t>31.68平方米</w:t>
            </w:r>
          </w:p>
        </w:tc>
        <w:tc>
          <w:tcPr>
            <w:tcW w:w="1410" w:type="dxa"/>
            <w:vAlign w:val="center"/>
          </w:tcPr>
          <w:p>
            <w:pPr>
              <w:tabs>
                <w:tab w:val="left" w:pos="5355"/>
              </w:tabs>
              <w:ind w:right="-99"/>
              <w:jc w:val="center"/>
              <w:rPr>
                <w:rFonts w:ascii="宋体" w:cs="黑体"/>
                <w:sz w:val="24"/>
                <w:lang w:val="zh-CN"/>
              </w:rPr>
            </w:pPr>
          </w:p>
        </w:tc>
        <w:tc>
          <w:tcPr>
            <w:tcW w:w="1155" w:type="dxa"/>
            <w:vMerge w:val="continue"/>
            <w:vAlign w:val="center"/>
          </w:tcPr>
          <w:p>
            <w:pPr>
              <w:tabs>
                <w:tab w:val="left" w:pos="5355"/>
              </w:tabs>
              <w:jc w:val="center"/>
              <w:rPr>
                <w:rFonts w:ascii="宋体" w:cs="黑体"/>
                <w:sz w:val="24"/>
                <w:lang w:val="zh-CN"/>
              </w:rPr>
            </w:pPr>
          </w:p>
        </w:tc>
        <w:tc>
          <w:tcPr>
            <w:tcW w:w="1140" w:type="dxa"/>
            <w:vMerge w:val="continue"/>
            <w:vAlign w:val="center"/>
          </w:tcPr>
          <w:p>
            <w:pPr>
              <w:tabs>
                <w:tab w:val="left" w:pos="5355"/>
              </w:tabs>
              <w:ind w:right="-99"/>
              <w:jc w:val="center"/>
              <w:rPr>
                <w:rFonts w:ascii="宋体" w:cs="黑体"/>
                <w:sz w:val="24"/>
                <w:lang w:val="zh-CN"/>
              </w:rPr>
            </w:pPr>
          </w:p>
        </w:tc>
        <w:tc>
          <w:tcPr>
            <w:tcW w:w="1315" w:type="dxa"/>
            <w:vMerge w:val="continue"/>
            <w:vAlign w:val="center"/>
          </w:tcPr>
          <w:p>
            <w:pPr>
              <w:tabs>
                <w:tab w:val="left" w:pos="5355"/>
              </w:tabs>
              <w:jc w:val="center"/>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207" w:type="dxa"/>
            <w:vMerge w:val="continue"/>
            <w:vAlign w:val="center"/>
          </w:tcPr>
          <w:p>
            <w:pPr>
              <w:jc w:val="center"/>
              <w:rPr>
                <w:rFonts w:hint="eastAsia" w:ascii="宋体" w:hAnsi="宋体" w:cs="宋体"/>
                <w:sz w:val="24"/>
              </w:rPr>
            </w:pPr>
          </w:p>
        </w:tc>
        <w:tc>
          <w:tcPr>
            <w:tcW w:w="1349" w:type="dxa"/>
            <w:vAlign w:val="center"/>
          </w:tcPr>
          <w:p>
            <w:pPr>
              <w:jc w:val="center"/>
            </w:pPr>
            <w:r>
              <w:rPr>
                <w:rFonts w:hint="eastAsia" w:ascii="宋体" w:hAnsi="宋体" w:cs="宋体"/>
                <w:sz w:val="24"/>
              </w:rPr>
              <w:t>加厚卷管</w:t>
            </w:r>
          </w:p>
        </w:tc>
        <w:tc>
          <w:tcPr>
            <w:tcW w:w="1080" w:type="dxa"/>
            <w:vMerge w:val="continue"/>
            <w:vAlign w:val="center"/>
          </w:tcPr>
          <w:p>
            <w:pPr>
              <w:tabs>
                <w:tab w:val="left" w:pos="5355"/>
              </w:tabs>
              <w:jc w:val="center"/>
              <w:rPr>
                <w:rFonts w:ascii="宋体" w:cs="黑体"/>
                <w:sz w:val="24"/>
                <w:lang w:val="zh-CN"/>
              </w:rPr>
            </w:pPr>
          </w:p>
        </w:tc>
        <w:tc>
          <w:tcPr>
            <w:tcW w:w="1620" w:type="dxa"/>
            <w:vAlign w:val="center"/>
          </w:tcPr>
          <w:p>
            <w:pPr>
              <w:tabs>
                <w:tab w:val="left" w:pos="5355"/>
              </w:tabs>
              <w:ind w:right="-99"/>
              <w:jc w:val="center"/>
              <w:rPr>
                <w:rFonts w:ascii="宋体" w:cs="黑体"/>
                <w:sz w:val="24"/>
                <w:lang w:val="zh-CN"/>
              </w:rPr>
            </w:pPr>
            <w:r>
              <w:rPr>
                <w:rFonts w:hint="eastAsia" w:ascii="宋体" w:cs="黑体"/>
                <w:sz w:val="24"/>
                <w:lang w:val="zh-CN"/>
              </w:rPr>
              <w:t>6.6米</w:t>
            </w:r>
          </w:p>
        </w:tc>
        <w:tc>
          <w:tcPr>
            <w:tcW w:w="1410" w:type="dxa"/>
            <w:vAlign w:val="center"/>
          </w:tcPr>
          <w:p>
            <w:pPr>
              <w:tabs>
                <w:tab w:val="left" w:pos="5355"/>
              </w:tabs>
              <w:ind w:right="-99"/>
              <w:jc w:val="center"/>
              <w:rPr>
                <w:rFonts w:ascii="宋体" w:cs="黑体"/>
                <w:sz w:val="24"/>
                <w:lang w:val="zh-CN"/>
              </w:rPr>
            </w:pPr>
          </w:p>
        </w:tc>
        <w:tc>
          <w:tcPr>
            <w:tcW w:w="1155" w:type="dxa"/>
            <w:vMerge w:val="continue"/>
            <w:vAlign w:val="center"/>
          </w:tcPr>
          <w:p>
            <w:pPr>
              <w:tabs>
                <w:tab w:val="left" w:pos="5355"/>
              </w:tabs>
              <w:jc w:val="center"/>
              <w:rPr>
                <w:rFonts w:ascii="宋体" w:cs="黑体"/>
                <w:sz w:val="24"/>
                <w:lang w:val="zh-CN"/>
              </w:rPr>
            </w:pPr>
          </w:p>
        </w:tc>
        <w:tc>
          <w:tcPr>
            <w:tcW w:w="1140" w:type="dxa"/>
            <w:vMerge w:val="continue"/>
            <w:vAlign w:val="center"/>
          </w:tcPr>
          <w:p>
            <w:pPr>
              <w:tabs>
                <w:tab w:val="left" w:pos="5355"/>
              </w:tabs>
              <w:ind w:right="-99"/>
              <w:jc w:val="center"/>
              <w:rPr>
                <w:rFonts w:ascii="宋体" w:cs="黑体"/>
                <w:sz w:val="24"/>
                <w:lang w:val="zh-CN"/>
              </w:rPr>
            </w:pPr>
          </w:p>
        </w:tc>
        <w:tc>
          <w:tcPr>
            <w:tcW w:w="1315" w:type="dxa"/>
            <w:vMerge w:val="continue"/>
            <w:vAlign w:val="center"/>
          </w:tcPr>
          <w:p>
            <w:pPr>
              <w:tabs>
                <w:tab w:val="left" w:pos="5355"/>
              </w:tabs>
              <w:jc w:val="center"/>
              <w:rPr>
                <w:rFonts w:ascii="宋体" w:cs="黑体"/>
                <w:sz w:val="24"/>
                <w:lang w:val="zh-CN"/>
              </w:rPr>
            </w:pPr>
          </w:p>
        </w:tc>
      </w:tr>
    </w:tbl>
    <w:p>
      <w:pPr>
        <w:autoSpaceDE w:val="0"/>
        <w:autoSpaceDN w:val="0"/>
        <w:adjustRightInd w:val="0"/>
        <w:spacing w:line="380" w:lineRule="exact"/>
        <w:rPr>
          <w:rFonts w:hint="eastAsia" w:ascii="宋体" w:hAnsi="宋体" w:cs="黑体"/>
          <w:szCs w:val="21"/>
          <w:lang w:val="zh-CN"/>
        </w:rPr>
      </w:pPr>
    </w:p>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197A"/>
    <w:rsid w:val="001D7C8F"/>
    <w:rsid w:val="001E1B4D"/>
    <w:rsid w:val="001F1668"/>
    <w:rsid w:val="00204276"/>
    <w:rsid w:val="002060D6"/>
    <w:rsid w:val="002062F6"/>
    <w:rsid w:val="00226811"/>
    <w:rsid w:val="00254FA8"/>
    <w:rsid w:val="00260B60"/>
    <w:rsid w:val="00284204"/>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0274"/>
    <w:rsid w:val="00632B0D"/>
    <w:rsid w:val="0064149C"/>
    <w:rsid w:val="00643DA4"/>
    <w:rsid w:val="00645A3F"/>
    <w:rsid w:val="00656BE2"/>
    <w:rsid w:val="00686865"/>
    <w:rsid w:val="006A150F"/>
    <w:rsid w:val="006C3AAF"/>
    <w:rsid w:val="006D5A44"/>
    <w:rsid w:val="006F4B0C"/>
    <w:rsid w:val="00710804"/>
    <w:rsid w:val="00721C9B"/>
    <w:rsid w:val="00741D26"/>
    <w:rsid w:val="007427BC"/>
    <w:rsid w:val="00761F76"/>
    <w:rsid w:val="007756AE"/>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8F31D5"/>
    <w:rsid w:val="00901C28"/>
    <w:rsid w:val="00917B6E"/>
    <w:rsid w:val="0093016C"/>
    <w:rsid w:val="009339D9"/>
    <w:rsid w:val="00941FB1"/>
    <w:rsid w:val="00947BB2"/>
    <w:rsid w:val="00960FC3"/>
    <w:rsid w:val="00962775"/>
    <w:rsid w:val="00963F5E"/>
    <w:rsid w:val="0096480E"/>
    <w:rsid w:val="00971082"/>
    <w:rsid w:val="00981932"/>
    <w:rsid w:val="009A4B7A"/>
    <w:rsid w:val="009E1BB3"/>
    <w:rsid w:val="009F1AE9"/>
    <w:rsid w:val="009F1D8A"/>
    <w:rsid w:val="00A060B4"/>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2768C"/>
    <w:rsid w:val="00C307DD"/>
    <w:rsid w:val="00C45CAB"/>
    <w:rsid w:val="00C73E68"/>
    <w:rsid w:val="00CB09A8"/>
    <w:rsid w:val="00CC5FDD"/>
    <w:rsid w:val="00CD6D2A"/>
    <w:rsid w:val="00D07FFA"/>
    <w:rsid w:val="00D26EC0"/>
    <w:rsid w:val="00D35954"/>
    <w:rsid w:val="00D36B8C"/>
    <w:rsid w:val="00D464FA"/>
    <w:rsid w:val="00D647FD"/>
    <w:rsid w:val="00D7060D"/>
    <w:rsid w:val="00D9519F"/>
    <w:rsid w:val="00DA70D4"/>
    <w:rsid w:val="00DA7CB6"/>
    <w:rsid w:val="00DB44FB"/>
    <w:rsid w:val="00DD7489"/>
    <w:rsid w:val="00DF0486"/>
    <w:rsid w:val="00E21DFE"/>
    <w:rsid w:val="00E34071"/>
    <w:rsid w:val="00E60A3E"/>
    <w:rsid w:val="00E74137"/>
    <w:rsid w:val="00EA298A"/>
    <w:rsid w:val="00EA3AC3"/>
    <w:rsid w:val="00EB7841"/>
    <w:rsid w:val="00ED0520"/>
    <w:rsid w:val="00EE1765"/>
    <w:rsid w:val="00EF57CD"/>
    <w:rsid w:val="00F07CF4"/>
    <w:rsid w:val="00F151F5"/>
    <w:rsid w:val="00F15B87"/>
    <w:rsid w:val="00F15E7E"/>
    <w:rsid w:val="00F44681"/>
    <w:rsid w:val="00F47CFD"/>
    <w:rsid w:val="00F5684A"/>
    <w:rsid w:val="00F61F24"/>
    <w:rsid w:val="00F70F37"/>
    <w:rsid w:val="00F85674"/>
    <w:rsid w:val="00F86FB9"/>
    <w:rsid w:val="00F94471"/>
    <w:rsid w:val="00FB1F58"/>
    <w:rsid w:val="00FC6D55"/>
    <w:rsid w:val="06270DC8"/>
    <w:rsid w:val="06EA1F36"/>
    <w:rsid w:val="07310051"/>
    <w:rsid w:val="09AA437C"/>
    <w:rsid w:val="0AAB26AA"/>
    <w:rsid w:val="0B771CCD"/>
    <w:rsid w:val="0D211E19"/>
    <w:rsid w:val="0E172A2A"/>
    <w:rsid w:val="14D56E0F"/>
    <w:rsid w:val="15CF4699"/>
    <w:rsid w:val="17E973D3"/>
    <w:rsid w:val="182108A7"/>
    <w:rsid w:val="1BA94C11"/>
    <w:rsid w:val="1BD6599E"/>
    <w:rsid w:val="1C69321D"/>
    <w:rsid w:val="1EC02076"/>
    <w:rsid w:val="1EEF5984"/>
    <w:rsid w:val="21516AA2"/>
    <w:rsid w:val="26C019A1"/>
    <w:rsid w:val="29044462"/>
    <w:rsid w:val="2ADB01BF"/>
    <w:rsid w:val="2AF56FD2"/>
    <w:rsid w:val="2B1C3FFE"/>
    <w:rsid w:val="2B2D789B"/>
    <w:rsid w:val="2CD754B2"/>
    <w:rsid w:val="2D2F02A4"/>
    <w:rsid w:val="2DD0097F"/>
    <w:rsid w:val="2F6C7B6C"/>
    <w:rsid w:val="33076ABA"/>
    <w:rsid w:val="332A0D4C"/>
    <w:rsid w:val="344D6DEC"/>
    <w:rsid w:val="34BE45CA"/>
    <w:rsid w:val="37FC4BBB"/>
    <w:rsid w:val="3B3F7380"/>
    <w:rsid w:val="40547A8B"/>
    <w:rsid w:val="40760EEC"/>
    <w:rsid w:val="42F740E2"/>
    <w:rsid w:val="439A2B46"/>
    <w:rsid w:val="45274CA5"/>
    <w:rsid w:val="458C6D38"/>
    <w:rsid w:val="475654FB"/>
    <w:rsid w:val="49624818"/>
    <w:rsid w:val="4B09241D"/>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69860548"/>
    <w:rsid w:val="70C8677C"/>
    <w:rsid w:val="71670074"/>
    <w:rsid w:val="733518DD"/>
    <w:rsid w:val="74627D64"/>
    <w:rsid w:val="76D73859"/>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iPriority w:val="99"/>
    <w:rPr>
      <w:rFonts w:ascii="宋体" w:hAnsi="Courier New" w:cs="Courier New"/>
      <w:szCs w:val="21"/>
    </w:rPr>
  </w:style>
  <w:style w:type="paragraph" w:styleId="3">
    <w:name w:val="Balloon Text"/>
    <w:basedOn w:val="1"/>
    <w:link w:val="17"/>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100" w:beforeAutospacing="1" w:after="100" w:afterAutospacing="1"/>
      <w:jc w:val="left"/>
    </w:pPr>
    <w:rPr>
      <w:kern w:val="0"/>
      <w:sz w:val="24"/>
      <w:szCs w:val="24"/>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qFormat/>
    <w:uiPriority w:val="99"/>
    <w:rPr>
      <w:rFonts w:cs="Times New Roman"/>
      <w:color w:val="3366CC"/>
      <w:u w:val="none"/>
    </w:rPr>
  </w:style>
  <w:style w:type="character" w:customStyle="1" w:styleId="11">
    <w:name w:val="纯文本 Char"/>
    <w:basedOn w:val="9"/>
    <w:link w:val="2"/>
    <w:semiHidden/>
    <w:qFormat/>
    <w:locked/>
    <w:uiPriority w:val="99"/>
    <w:rPr>
      <w:rFonts w:ascii="宋体" w:hAnsi="Courier New" w:eastAsia="宋体" w:cs="Courier New"/>
      <w:sz w:val="21"/>
      <w:szCs w:val="21"/>
    </w:rPr>
  </w:style>
  <w:style w:type="character" w:customStyle="1" w:styleId="12">
    <w:name w:val="页脚 Char"/>
    <w:basedOn w:val="9"/>
    <w:link w:val="4"/>
    <w:qFormat/>
    <w:locked/>
    <w:uiPriority w:val="99"/>
    <w:rPr>
      <w:rFonts w:cs="Times New Roman"/>
      <w:sz w:val="18"/>
      <w:szCs w:val="18"/>
    </w:rPr>
  </w:style>
  <w:style w:type="character" w:customStyle="1" w:styleId="13">
    <w:name w:val="页眉 Char"/>
    <w:basedOn w:val="9"/>
    <w:link w:val="5"/>
    <w:qFormat/>
    <w:locked/>
    <w:uiPriority w:val="99"/>
    <w:rPr>
      <w:rFonts w:cs="Times New Roman"/>
      <w:sz w:val="18"/>
      <w:szCs w:val="18"/>
    </w:rPr>
  </w:style>
  <w:style w:type="paragraph" w:customStyle="1" w:styleId="14">
    <w:name w:val="列出段落1"/>
    <w:basedOn w:val="1"/>
    <w:qFormat/>
    <w:uiPriority w:val="99"/>
    <w:pPr>
      <w:ind w:firstLine="420" w:firstLineChars="200"/>
    </w:pPr>
  </w:style>
  <w:style w:type="paragraph" w:customStyle="1" w:styleId="15">
    <w:name w:val="样式3"/>
    <w:basedOn w:val="2"/>
    <w:link w:val="16"/>
    <w:qFormat/>
    <w:uiPriority w:val="99"/>
    <w:pPr>
      <w:spacing w:line="240" w:lineRule="atLeast"/>
      <w:outlineLvl w:val="0"/>
    </w:pPr>
    <w:rPr>
      <w:rFonts w:cs="Times New Roman"/>
      <w:kern w:val="0"/>
      <w:sz w:val="20"/>
      <w:szCs w:val="20"/>
      <w:lang w:val="zh-CN"/>
    </w:rPr>
  </w:style>
  <w:style w:type="character" w:customStyle="1" w:styleId="16">
    <w:name w:val="样式3 Char Char"/>
    <w:link w:val="15"/>
    <w:qFormat/>
    <w:locked/>
    <w:uiPriority w:val="99"/>
    <w:rPr>
      <w:rFonts w:ascii="宋体" w:hAnsi="Courier New" w:eastAsia="宋体"/>
      <w:sz w:val="20"/>
      <w:lang w:val="zh-CN" w:eastAsia="zh-CN"/>
    </w:rPr>
  </w:style>
  <w:style w:type="character" w:customStyle="1" w:styleId="17">
    <w:name w:val="批注框文本 Char"/>
    <w:basedOn w:val="9"/>
    <w:link w:val="3"/>
    <w:semiHidden/>
    <w:qFormat/>
    <w:locked/>
    <w:uiPriority w:val="99"/>
    <w:rPr>
      <w:rFonts w:cs="Times New Roman"/>
      <w:kern w:val="2"/>
      <w:sz w:val="18"/>
      <w:szCs w:val="18"/>
    </w:rPr>
  </w:style>
  <w:style w:type="paragraph" w:styleId="18">
    <w:name w:val="List Paragraph"/>
    <w:basedOn w:val="1"/>
    <w:qFormat/>
    <w:uiPriority w:val="34"/>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8CDEB-2AB8-43A5-A8C6-CFD47E472A8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229</Words>
  <Characters>1306</Characters>
  <Lines>10</Lines>
  <Paragraphs>3</Paragraphs>
  <TotalTime>4</TotalTime>
  <ScaleCrop>false</ScaleCrop>
  <LinksUpToDate>false</LinksUpToDate>
  <CharactersWithSpaces>1532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2021-06-07T03:25:00Z</dcterms:created>
  <dc:creator>admin</dc:creator>
  <cp:lastModifiedBy>comedy禛～</cp:lastModifiedBy>
  <cp:lastPrinted>2021-01-07T08:38:00Z</cp:lastPrinted>
  <dcterms:modified xsi:type="dcterms:W3CDTF">2021-10-12T08:37:08Z</dcterms:modified>
  <dc:title>福建省货物和服务项目</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A65B5C595A014FA1BA56C99011058031</vt:lpwstr>
  </property>
</Properties>
</file>